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48165">
      <w:pPr>
        <w:widowControl/>
        <w:spacing w:line="540" w:lineRule="exact"/>
        <w:jc w:val="center"/>
        <w:rPr>
          <w:rFonts w:hint="eastAsia" w:ascii="仿宋" w:hAnsi="仿宋" w:eastAsia="仿宋" w:cs="仿宋"/>
          <w:b/>
          <w:spacing w:val="-6"/>
          <w:sz w:val="30"/>
          <w:szCs w:val="30"/>
        </w:rPr>
      </w:pPr>
      <w:r>
        <w:rPr>
          <w:rFonts w:hint="eastAsia" w:ascii="仿宋" w:hAnsi="仿宋" w:eastAsia="仿宋" w:cs="仿宋"/>
          <w:b/>
          <w:spacing w:val="-6"/>
          <w:sz w:val="32"/>
          <w:szCs w:val="32"/>
        </w:rPr>
        <w:t>供应商声明</w:t>
      </w:r>
    </w:p>
    <w:p w14:paraId="385EF078">
      <w:pPr>
        <w:widowControl/>
        <w:spacing w:line="540" w:lineRule="exact"/>
        <w:jc w:val="center"/>
        <w:rPr>
          <w:rFonts w:hint="eastAsia" w:ascii="仿宋" w:hAnsi="仿宋" w:eastAsia="仿宋" w:cs="仿宋"/>
          <w:spacing w:val="-6"/>
          <w:sz w:val="30"/>
          <w:szCs w:val="30"/>
        </w:rPr>
      </w:pPr>
    </w:p>
    <w:p w14:paraId="3C34ED6E">
      <w:pPr>
        <w:pStyle w:val="8"/>
        <w:widowControl/>
        <w:numPr>
          <w:ilvl w:val="0"/>
          <w:numId w:val="1"/>
        </w:numPr>
        <w:spacing w:line="540" w:lineRule="exact"/>
        <w:ind w:firstLine="549" w:firstLineChars="0"/>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本公司承诺遵守中国太平洋</w:t>
      </w:r>
      <w:r>
        <w:rPr>
          <w:rFonts w:hint="eastAsia" w:ascii="仿宋" w:hAnsi="仿宋" w:eastAsia="仿宋" w:cs="仿宋"/>
          <w:color w:val="000000" w:themeColor="text1"/>
          <w:spacing w:val="-6"/>
          <w:sz w:val="30"/>
          <w:szCs w:val="30"/>
          <w:lang w:val="en-US" w:eastAsia="zh-CN"/>
        </w:rPr>
        <w:t>人寿</w:t>
      </w:r>
      <w:r>
        <w:rPr>
          <w:rFonts w:hint="eastAsia" w:ascii="仿宋" w:hAnsi="仿宋" w:eastAsia="仿宋" w:cs="仿宋"/>
          <w:color w:val="000000" w:themeColor="text1"/>
          <w:spacing w:val="-6"/>
          <w:sz w:val="30"/>
          <w:szCs w:val="30"/>
        </w:rPr>
        <w:t>保险股份有限公司广东分公司（以下简称太平洋寿险广东分公司）采购纪律和相关工作流程，确保采购活动规范与廉洁。</w:t>
      </w:r>
    </w:p>
    <w:p w14:paraId="3FFE7116">
      <w:pPr>
        <w:pStyle w:val="8"/>
        <w:widowControl/>
        <w:numPr>
          <w:ilvl w:val="0"/>
          <w:numId w:val="1"/>
        </w:numPr>
        <w:spacing w:line="540" w:lineRule="exact"/>
        <w:ind w:firstLine="549" w:firstLineChars="0"/>
        <w:jc w:val="left"/>
        <w:rPr>
          <w:rFonts w:hint="eastAsia" w:ascii="仿宋" w:hAnsi="仿宋" w:eastAsia="仿宋" w:cs="仿宋"/>
          <w:b/>
          <w:color w:val="000000" w:themeColor="text1"/>
          <w:spacing w:val="-6"/>
          <w:sz w:val="30"/>
          <w:szCs w:val="30"/>
        </w:rPr>
      </w:pPr>
      <w:r>
        <w:rPr>
          <w:rFonts w:hint="eastAsia" w:ascii="仿宋" w:hAnsi="仿宋" w:eastAsia="仿宋" w:cs="仿宋"/>
          <w:color w:val="000000" w:themeColor="text1"/>
          <w:spacing w:val="-6"/>
          <w:sz w:val="30"/>
          <w:szCs w:val="30"/>
        </w:rPr>
        <w:t>本公司承诺依法成立，具有法人资格或具备独立承担民事责任的能力及有履行合同所必需的设备和专业技术能力。</w:t>
      </w:r>
    </w:p>
    <w:p w14:paraId="38CF471B">
      <w:pPr>
        <w:pStyle w:val="8"/>
        <w:widowControl/>
        <w:numPr>
          <w:ilvl w:val="0"/>
          <w:numId w:val="1"/>
        </w:numPr>
        <w:spacing w:line="540" w:lineRule="exact"/>
        <w:ind w:firstLine="549" w:firstLineChars="0"/>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本公司承诺商业信誉及经营状况良好，且近三年内无不良经营记录、无违规违法记录。</w:t>
      </w:r>
    </w:p>
    <w:p w14:paraId="1142291F">
      <w:pPr>
        <w:pStyle w:val="8"/>
        <w:widowControl/>
        <w:numPr>
          <w:ilvl w:val="0"/>
          <w:numId w:val="1"/>
        </w:numPr>
        <w:spacing w:line="540" w:lineRule="exact"/>
        <w:ind w:firstLine="549" w:firstLineChars="0"/>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本公司承诺所应募的项目类别，本公司负责人及主要成员与应募同类别的其他单位不存在直接控股、管理关系，并与</w:t>
      </w:r>
      <w:r>
        <w:rPr>
          <w:rFonts w:hint="eastAsia" w:ascii="仿宋" w:hAnsi="仿宋" w:eastAsia="仿宋" w:cs="仿宋"/>
          <w:spacing w:val="-6"/>
          <w:sz w:val="30"/>
          <w:szCs w:val="30"/>
        </w:rPr>
        <w:t>20</w:t>
      </w:r>
      <w:r>
        <w:rPr>
          <w:rFonts w:hint="eastAsia" w:ascii="仿宋" w:hAnsi="仿宋" w:eastAsia="仿宋" w:cs="仿宋"/>
          <w:spacing w:val="-6"/>
          <w:sz w:val="30"/>
          <w:szCs w:val="30"/>
          <w:lang w:val="en-US" w:eastAsia="zh-CN"/>
        </w:rPr>
        <w:t>23</w:t>
      </w:r>
      <w:r>
        <w:rPr>
          <w:rFonts w:hint="eastAsia" w:ascii="仿宋" w:hAnsi="仿宋" w:eastAsia="仿宋" w:cs="仿宋"/>
          <w:spacing w:val="-6"/>
          <w:sz w:val="30"/>
          <w:szCs w:val="30"/>
        </w:rPr>
        <w:t>年</w:t>
      </w:r>
      <w:r>
        <w:rPr>
          <w:rFonts w:hint="eastAsia" w:ascii="仿宋" w:hAnsi="仿宋" w:eastAsia="仿宋" w:cs="仿宋"/>
          <w:spacing w:val="-6"/>
          <w:sz w:val="30"/>
          <w:szCs w:val="30"/>
          <w:lang w:eastAsia="zh-CN"/>
        </w:rPr>
        <w:t>至</w:t>
      </w:r>
      <w:r>
        <w:rPr>
          <w:rFonts w:hint="eastAsia" w:ascii="仿宋" w:hAnsi="仿宋" w:eastAsia="仿宋" w:cs="仿宋"/>
          <w:spacing w:val="-6"/>
          <w:sz w:val="30"/>
          <w:szCs w:val="30"/>
          <w:lang w:val="en-US" w:eastAsia="zh-CN"/>
        </w:rPr>
        <w:t>2025年</w:t>
      </w:r>
      <w:r>
        <w:rPr>
          <w:rFonts w:hint="eastAsia" w:ascii="仿宋" w:hAnsi="仿宋" w:eastAsia="仿宋" w:cs="仿宋"/>
          <w:spacing w:val="-6"/>
          <w:sz w:val="30"/>
          <w:szCs w:val="30"/>
        </w:rPr>
        <w:t>已入库同</w:t>
      </w:r>
      <w:r>
        <w:rPr>
          <w:rFonts w:hint="eastAsia" w:ascii="仿宋" w:hAnsi="仿宋" w:eastAsia="仿宋" w:cs="仿宋"/>
          <w:color w:val="000000" w:themeColor="text1"/>
          <w:spacing w:val="-6"/>
          <w:sz w:val="30"/>
          <w:szCs w:val="30"/>
        </w:rPr>
        <w:t>类别的供应商不存在任何关联性。</w:t>
      </w:r>
    </w:p>
    <w:p w14:paraId="0FEB12B0">
      <w:pPr>
        <w:pStyle w:val="8"/>
        <w:widowControl/>
        <w:numPr>
          <w:ilvl w:val="0"/>
          <w:numId w:val="1"/>
        </w:numPr>
        <w:spacing w:line="540" w:lineRule="exact"/>
        <w:ind w:firstLine="549" w:firstLineChars="0"/>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公司保证向太平洋寿险广东分公司提交的资料、数据（包括但不限于谈判响应文件及其它太平洋寿险广东分公司要求提供的资料等）具有其合法性和有效性。本公司所有提交的资料均视为本公司真实意思表达，对本公司具有法律拘束力。</w:t>
      </w:r>
    </w:p>
    <w:p w14:paraId="62075A17">
      <w:pPr>
        <w:pStyle w:val="8"/>
        <w:widowControl/>
        <w:numPr>
          <w:ilvl w:val="0"/>
          <w:numId w:val="1"/>
        </w:numPr>
        <w:spacing w:line="540" w:lineRule="exact"/>
        <w:ind w:firstLine="549" w:firstLineChars="0"/>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本公司严守采购活动中涉及的保密信息，未经法律法规及相关有权机关要求或未经太平洋寿险广东分公司事先书面同意，绝不将信息泄露给其他第三方。</w:t>
      </w:r>
    </w:p>
    <w:p w14:paraId="001ABC29">
      <w:pPr>
        <w:pStyle w:val="8"/>
        <w:widowControl/>
        <w:numPr>
          <w:ilvl w:val="0"/>
          <w:numId w:val="1"/>
        </w:numPr>
        <w:spacing w:line="540" w:lineRule="exact"/>
        <w:ind w:firstLine="560" w:firstLineChars="0"/>
        <w:jc w:val="left"/>
        <w:rPr>
          <w:rFonts w:hint="eastAsia" w:ascii="仿宋" w:hAnsi="仿宋" w:eastAsia="仿宋" w:cs="仿宋"/>
          <w:b/>
          <w:color w:val="000000" w:themeColor="text1"/>
          <w:spacing w:val="-6"/>
          <w:sz w:val="30"/>
          <w:szCs w:val="30"/>
        </w:rPr>
      </w:pPr>
      <w:r>
        <w:rPr>
          <w:rFonts w:hint="eastAsia" w:ascii="仿宋" w:hAnsi="仿宋" w:eastAsia="仿宋" w:cs="仿宋"/>
          <w:color w:val="000000" w:themeColor="text1"/>
          <w:spacing w:val="-6"/>
          <w:sz w:val="30"/>
          <w:szCs w:val="30"/>
        </w:rPr>
        <w:t>本公司参与采购活动的义务包括：</w:t>
      </w:r>
    </w:p>
    <w:p w14:paraId="3E557E4A">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自觉遵守太平洋寿险广东分公司关于供应商管理的相关制度规定，保证在采购活动中无任何违法、违规、违纪行为。</w:t>
      </w:r>
    </w:p>
    <w:p w14:paraId="1AE72E36">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为太平洋寿险广东分公司提供符合规定质量标准的货物、工程和服务, 不擅自将中标（选）项目分包或转包。</w:t>
      </w:r>
    </w:p>
    <w:p w14:paraId="2D3CD89C">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在参与采购项目过程中，不串通其他供应商哄抬标价，扰乱采购秩序，谋取非法权益，不提供虚假材料谋取中标（选）。</w:t>
      </w:r>
    </w:p>
    <w:p w14:paraId="76B30BD8">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中标（选）后，按规定的时间与太平洋寿险广东分公司签订采购合同，并按合同严格履约；不擅自变更或者终止采购合同；内容包括且不限于中标（选）货物、设备、材料、服务、采购文件、招标文件及采购合同约定等的相关事宜。</w:t>
      </w:r>
    </w:p>
    <w:p w14:paraId="4731BA6F">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主动接受太平洋寿险广东分公司采购部门及监察部门的监督、管理，不进行包括给回扣、介绍费在内的一切违纪违法行为。</w:t>
      </w:r>
    </w:p>
    <w:p w14:paraId="13ADC09B">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发生工商变更、注销，应书面（或通过邮件）报告太平洋寿险广东分公司采购部门，并办理相应的公司资格变更或注销手续。</w:t>
      </w:r>
    </w:p>
    <w:p w14:paraId="65AECC61">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相关法律、法规、办法和规章规定中的其他义务。</w:t>
      </w:r>
    </w:p>
    <w:p w14:paraId="6EBE8F15">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未经太平洋寿险广东分公司事先书面同意，本公司不得转让此声明条款的义务。在遵守前述规定的情况下，此声明条款对双方的继承人和许可的受让人有约束力。</w:t>
      </w:r>
    </w:p>
    <w:p w14:paraId="527EB598">
      <w:pPr>
        <w:pStyle w:val="8"/>
        <w:widowControl/>
        <w:numPr>
          <w:ilvl w:val="0"/>
          <w:numId w:val="1"/>
        </w:numPr>
        <w:spacing w:line="540" w:lineRule="exact"/>
        <w:ind w:firstLine="549" w:firstLineChars="0"/>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声明的成立、生效、履行和解释，均适用于中华人民共和国法律；法律无明文规定的，可适用通行的交易惯例。因声明所引起的争议或者与之相关的任何争议，由双方协商解决；若协商不成，双方自愿将争议提交太平洋寿险广东分公司所在地人民法院以诉讼方式解决。</w:t>
      </w:r>
    </w:p>
    <w:p w14:paraId="34133142">
      <w:pPr>
        <w:pStyle w:val="8"/>
        <w:widowControl/>
        <w:numPr>
          <w:ilvl w:val="0"/>
          <w:numId w:val="1"/>
        </w:numPr>
        <w:spacing w:line="540" w:lineRule="exact"/>
        <w:ind w:firstLine="549" w:firstLineChars="0"/>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声明由本公司法定代表人或授权代表签字并加盖公章后生效。若本公司需终止声明，在提交书面说明并经太平洋寿险广东分公司书面同意后本声明终止。如本公司出现违约或违法违规行为，承诺按照太平洋寿险广东分公司相关规定办法进行惩处。</w:t>
      </w:r>
    </w:p>
    <w:p w14:paraId="0D170D78">
      <w:pPr>
        <w:pStyle w:val="8"/>
        <w:widowControl/>
        <w:numPr>
          <w:ilvl w:val="0"/>
          <w:numId w:val="1"/>
        </w:numPr>
        <w:spacing w:line="540" w:lineRule="exact"/>
        <w:ind w:firstLine="549" w:firstLineChars="0"/>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公司同意对由于以下事项直接或间接引起或与之有关而使太平洋寿险广东分公司遭受的任何损失（无论是民事侵权、合同责任或其它方面）、利益主张、起诉、索赔、赔偿金、遭受损失、损害、要求、费用（包括但不限于：间接损失、利润损失、声誉损失和律师费及其他专业人员费用）或责任对太平洋寿险广东分公司予以全部赔偿，并采取一切必要措施消除影响和可能影响：</w:t>
      </w:r>
    </w:p>
    <w:p w14:paraId="0C39B691">
      <w:pPr>
        <w:widowControl/>
        <w:spacing w:line="540" w:lineRule="exact"/>
        <w:ind w:firstLine="564" w:firstLineChars="196"/>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（1） 本公司违反本声明书的任何条款；</w:t>
      </w:r>
    </w:p>
    <w:p w14:paraId="44BDD7E5">
      <w:pPr>
        <w:widowControl/>
        <w:spacing w:line="540" w:lineRule="exact"/>
        <w:ind w:firstLine="564" w:firstLineChars="196"/>
        <w:jc w:val="left"/>
        <w:rPr>
          <w:rFonts w:hint="eastAsia" w:ascii="仿宋" w:hAnsi="仿宋" w:eastAsia="仿宋" w:cs="仿宋"/>
          <w:spacing w:val="-6"/>
          <w:sz w:val="30"/>
          <w:szCs w:val="30"/>
        </w:rPr>
      </w:pPr>
      <w:r>
        <w:rPr>
          <w:rFonts w:hint="eastAsia" w:ascii="仿宋" w:hAnsi="仿宋" w:eastAsia="仿宋" w:cs="仿宋"/>
          <w:color w:val="000000" w:themeColor="text1"/>
          <w:spacing w:val="-6"/>
          <w:sz w:val="30"/>
          <w:szCs w:val="30"/>
        </w:rPr>
        <w:t>（2） 本公司无论有意或无意披露或提供任何全部或部分保密信息给第三方（包括因该第三方继</w:t>
      </w:r>
      <w:r>
        <w:rPr>
          <w:rFonts w:hint="eastAsia" w:ascii="仿宋" w:hAnsi="仿宋" w:eastAsia="仿宋" w:cs="仿宋"/>
          <w:spacing w:val="-6"/>
          <w:sz w:val="30"/>
          <w:szCs w:val="30"/>
        </w:rPr>
        <w:t>续传播所引起）的作为或不作为。</w:t>
      </w:r>
    </w:p>
    <w:p w14:paraId="46D9A91C">
      <w:pPr>
        <w:pStyle w:val="8"/>
        <w:widowControl/>
        <w:spacing w:line="540" w:lineRule="exact"/>
        <w:ind w:left="562" w:firstLine="0" w:firstLineChars="0"/>
        <w:jc w:val="left"/>
        <w:rPr>
          <w:rFonts w:hint="eastAsia" w:ascii="仿宋" w:hAnsi="仿宋" w:eastAsia="仿宋" w:cs="仿宋"/>
          <w:b/>
          <w:spacing w:val="-6"/>
          <w:sz w:val="30"/>
          <w:szCs w:val="30"/>
        </w:rPr>
      </w:pPr>
    </w:p>
    <w:p w14:paraId="5050E19C">
      <w:pPr>
        <w:widowControl/>
        <w:spacing w:line="540" w:lineRule="exact"/>
        <w:ind w:firstLine="578" w:firstLineChars="200"/>
        <w:jc w:val="left"/>
        <w:rPr>
          <w:rFonts w:hint="eastAsia" w:ascii="仿宋" w:hAnsi="仿宋" w:eastAsia="仿宋" w:cs="仿宋"/>
          <w:b/>
          <w:spacing w:val="-6"/>
          <w:sz w:val="30"/>
          <w:szCs w:val="30"/>
        </w:rPr>
      </w:pPr>
      <w:r>
        <w:rPr>
          <w:rFonts w:hint="eastAsia" w:ascii="仿宋" w:hAnsi="仿宋" w:eastAsia="仿宋" w:cs="仿宋"/>
          <w:b/>
          <w:spacing w:val="-6"/>
          <w:sz w:val="30"/>
          <w:szCs w:val="30"/>
        </w:rPr>
        <w:t>以上条款，</w:t>
      </w:r>
      <w:r>
        <w:rPr>
          <w:rFonts w:hint="eastAsia" w:ascii="仿宋" w:hAnsi="仿宋" w:eastAsia="仿宋" w:cs="仿宋"/>
          <w:b/>
          <w:color w:val="333333"/>
          <w:spacing w:val="-6"/>
          <w:sz w:val="30"/>
          <w:szCs w:val="30"/>
        </w:rPr>
        <w:t>若有违反任意一条，本公司自愿接受相应处罚</w:t>
      </w:r>
      <w:r>
        <w:rPr>
          <w:rFonts w:hint="eastAsia" w:ascii="仿宋" w:hAnsi="仿宋" w:eastAsia="仿宋" w:cs="仿宋"/>
          <w:b/>
          <w:spacing w:val="-6"/>
          <w:sz w:val="30"/>
          <w:szCs w:val="30"/>
        </w:rPr>
        <w:t>，特此声明！</w:t>
      </w:r>
    </w:p>
    <w:p w14:paraId="0F249425">
      <w:pPr>
        <w:widowControl/>
        <w:spacing w:line="540" w:lineRule="exact"/>
        <w:jc w:val="left"/>
        <w:rPr>
          <w:rFonts w:hint="eastAsia" w:ascii="仿宋" w:hAnsi="仿宋" w:eastAsia="仿宋" w:cs="仿宋"/>
          <w:spacing w:val="-6"/>
          <w:sz w:val="30"/>
          <w:szCs w:val="30"/>
        </w:rPr>
      </w:pPr>
    </w:p>
    <w:p w14:paraId="0BB4AA16">
      <w:pPr>
        <w:widowControl/>
        <w:spacing w:line="360" w:lineRule="auto"/>
        <w:jc w:val="left"/>
        <w:rPr>
          <w:rFonts w:hint="eastAsia" w:ascii="仿宋" w:hAnsi="仿宋" w:eastAsia="仿宋" w:cs="仿宋"/>
          <w:spacing w:val="-6"/>
          <w:sz w:val="30"/>
          <w:szCs w:val="30"/>
        </w:rPr>
      </w:pPr>
      <w:r>
        <w:rPr>
          <w:rFonts w:hint="eastAsia" w:ascii="仿宋" w:hAnsi="仿宋" w:eastAsia="仿宋" w:cs="仿宋"/>
          <w:spacing w:val="-6"/>
          <w:sz w:val="30"/>
          <w:szCs w:val="30"/>
        </w:rPr>
        <w:t>法定代表人或授权代表签字：</w:t>
      </w:r>
    </w:p>
    <w:p w14:paraId="6DB083E0">
      <w:pPr>
        <w:widowControl/>
        <w:spacing w:line="360" w:lineRule="auto"/>
        <w:jc w:val="left"/>
        <w:rPr>
          <w:rFonts w:hint="eastAsia" w:ascii="仿宋" w:hAnsi="仿宋" w:eastAsia="仿宋" w:cs="仿宋"/>
          <w:spacing w:val="-6"/>
          <w:sz w:val="30"/>
          <w:szCs w:val="30"/>
        </w:rPr>
      </w:pPr>
      <w:r>
        <w:rPr>
          <w:rFonts w:hint="eastAsia" w:ascii="仿宋" w:hAnsi="仿宋" w:eastAsia="仿宋" w:cs="仿宋"/>
          <w:spacing w:val="-6"/>
          <w:sz w:val="30"/>
          <w:szCs w:val="30"/>
        </w:rPr>
        <w:t>公司（公章）：</w:t>
      </w:r>
    </w:p>
    <w:p w14:paraId="0DA7030C">
      <w:pPr>
        <w:widowControl/>
        <w:spacing w:line="360" w:lineRule="auto"/>
        <w:jc w:val="left"/>
        <w:rPr>
          <w:rFonts w:hint="eastAsia" w:ascii="仿宋" w:hAnsi="仿宋" w:eastAsia="仿宋" w:cs="仿宋"/>
          <w:spacing w:val="-6"/>
          <w:sz w:val="30"/>
          <w:szCs w:val="30"/>
        </w:rPr>
      </w:pPr>
      <w:r>
        <w:rPr>
          <w:rFonts w:hint="eastAsia" w:ascii="仿宋" w:hAnsi="仿宋" w:eastAsia="仿宋" w:cs="仿宋"/>
          <w:spacing w:val="-6"/>
          <w:sz w:val="30"/>
          <w:szCs w:val="30"/>
        </w:rPr>
        <w:t>声明签署地： 广东</w:t>
      </w:r>
    </w:p>
    <w:p w14:paraId="68B22596">
      <w:pPr>
        <w:spacing w:line="540" w:lineRule="exact"/>
        <w:rPr>
          <w:rFonts w:hint="eastAsia" w:ascii="仿宋" w:hAnsi="仿宋" w:eastAsia="仿宋" w:cs="仿宋"/>
          <w:spacing w:val="-6"/>
          <w:sz w:val="30"/>
          <w:szCs w:val="30"/>
        </w:rPr>
      </w:pPr>
      <w:r>
        <w:rPr>
          <w:rFonts w:hint="eastAsia" w:ascii="仿宋" w:hAnsi="仿宋" w:eastAsia="仿宋" w:cs="仿宋"/>
          <w:spacing w:val="-6"/>
          <w:sz w:val="30"/>
          <w:szCs w:val="30"/>
        </w:rPr>
        <w:t xml:space="preserve">                                  </w:t>
      </w:r>
    </w:p>
    <w:p w14:paraId="74A24351">
      <w:pPr>
        <w:spacing w:line="540" w:lineRule="exact"/>
        <w:rPr>
          <w:rFonts w:hint="eastAsia" w:ascii="仿宋" w:hAnsi="仿宋" w:eastAsia="仿宋" w:cs="仿宋"/>
          <w:spacing w:val="-6"/>
          <w:sz w:val="30"/>
          <w:szCs w:val="30"/>
        </w:rPr>
      </w:pPr>
    </w:p>
    <w:p w14:paraId="3C1A71FB">
      <w:pPr>
        <w:spacing w:line="540" w:lineRule="exact"/>
        <w:ind w:firstLine="5472" w:firstLineChars="1900"/>
        <w:rPr>
          <w:rFonts w:hint="eastAsia" w:ascii="仿宋" w:hAnsi="仿宋" w:eastAsia="仿宋" w:cs="仿宋"/>
          <w:b/>
          <w:spacing w:val="-6"/>
          <w:sz w:val="30"/>
          <w:szCs w:val="30"/>
        </w:rPr>
      </w:pPr>
      <w:bookmarkStart w:id="0" w:name="_GoBack"/>
      <w:bookmarkEnd w:id="0"/>
      <w:r>
        <w:rPr>
          <w:rFonts w:hint="eastAsia" w:ascii="仿宋" w:hAnsi="仿宋" w:eastAsia="仿宋" w:cs="仿宋"/>
          <w:spacing w:val="-6"/>
          <w:sz w:val="30"/>
          <w:szCs w:val="30"/>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43E3A"/>
    <w:multiLevelType w:val="multilevel"/>
    <w:tmpl w:val="1F343E3A"/>
    <w:lvl w:ilvl="0" w:tentative="0">
      <w:start w:val="1"/>
      <w:numFmt w:val="decimal"/>
      <w:lvlText w:val="%1."/>
      <w:lvlJc w:val="left"/>
      <w:pPr>
        <w:ind w:left="0" w:hanging="420"/>
      </w:p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
    <w:nsid w:val="4D5D39C7"/>
    <w:multiLevelType w:val="multilevel"/>
    <w:tmpl w:val="4D5D39C7"/>
    <w:lvl w:ilvl="0" w:tentative="0">
      <w:start w:val="1"/>
      <w:numFmt w:val="japaneseCounting"/>
      <w:lvlText w:val="第%1条"/>
      <w:lvlJc w:val="left"/>
      <w:pPr>
        <w:ind w:left="0" w:hanging="1695"/>
      </w:pPr>
      <w:rPr>
        <w:rFonts w:hint="eastAsia" w:ascii="仿宋_GB2312" w:hAnsi="宋体" w:eastAsia="仿宋_GB2312"/>
        <w:b/>
        <w:sz w:val="30"/>
        <w:szCs w:val="30"/>
        <w:lang w:val="en-US"/>
      </w:rPr>
    </w:lvl>
    <w:lvl w:ilvl="1" w:tentative="0">
      <w:start w:val="1"/>
      <w:numFmt w:val="lowerLetter"/>
      <w:lvlText w:val="%2)"/>
      <w:lvlJc w:val="left"/>
      <w:pPr>
        <w:ind w:left="-855" w:hanging="420"/>
      </w:pPr>
    </w:lvl>
    <w:lvl w:ilvl="2" w:tentative="0">
      <w:start w:val="1"/>
      <w:numFmt w:val="lowerRoman"/>
      <w:lvlText w:val="%3."/>
      <w:lvlJc w:val="right"/>
      <w:pPr>
        <w:ind w:left="-435" w:hanging="420"/>
      </w:pPr>
    </w:lvl>
    <w:lvl w:ilvl="3" w:tentative="0">
      <w:start w:val="1"/>
      <w:numFmt w:val="decimal"/>
      <w:lvlText w:val="%4."/>
      <w:lvlJc w:val="left"/>
      <w:pPr>
        <w:ind w:left="-15" w:hanging="420"/>
      </w:pPr>
    </w:lvl>
    <w:lvl w:ilvl="4" w:tentative="0">
      <w:start w:val="1"/>
      <w:numFmt w:val="lowerLetter"/>
      <w:lvlText w:val="%5)"/>
      <w:lvlJc w:val="left"/>
      <w:pPr>
        <w:ind w:left="405" w:hanging="420"/>
      </w:pPr>
    </w:lvl>
    <w:lvl w:ilvl="5" w:tentative="0">
      <w:start w:val="1"/>
      <w:numFmt w:val="lowerRoman"/>
      <w:lvlText w:val="%6."/>
      <w:lvlJc w:val="right"/>
      <w:pPr>
        <w:ind w:left="825" w:hanging="420"/>
      </w:pPr>
    </w:lvl>
    <w:lvl w:ilvl="6" w:tentative="0">
      <w:start w:val="1"/>
      <w:numFmt w:val="decimal"/>
      <w:lvlText w:val="%7."/>
      <w:lvlJc w:val="left"/>
      <w:pPr>
        <w:ind w:left="1245" w:hanging="420"/>
      </w:pPr>
    </w:lvl>
    <w:lvl w:ilvl="7" w:tentative="0">
      <w:start w:val="1"/>
      <w:numFmt w:val="lowerLetter"/>
      <w:lvlText w:val="%8)"/>
      <w:lvlJc w:val="left"/>
      <w:pPr>
        <w:ind w:left="1665" w:hanging="420"/>
      </w:pPr>
    </w:lvl>
    <w:lvl w:ilvl="8" w:tentative="0">
      <w:start w:val="1"/>
      <w:numFmt w:val="lowerRoman"/>
      <w:lvlText w:val="%9."/>
      <w:lvlJc w:val="right"/>
      <w:pPr>
        <w:ind w:left="20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61F37"/>
    <w:rsid w:val="00020452"/>
    <w:rsid w:val="000445EA"/>
    <w:rsid w:val="00045454"/>
    <w:rsid w:val="000960F9"/>
    <w:rsid w:val="000C2BF4"/>
    <w:rsid w:val="000E6A9E"/>
    <w:rsid w:val="000F21BE"/>
    <w:rsid w:val="0018056E"/>
    <w:rsid w:val="001A06AA"/>
    <w:rsid w:val="001B63BB"/>
    <w:rsid w:val="0021205C"/>
    <w:rsid w:val="00254356"/>
    <w:rsid w:val="002C12DF"/>
    <w:rsid w:val="002E69AC"/>
    <w:rsid w:val="003173C5"/>
    <w:rsid w:val="003665F4"/>
    <w:rsid w:val="003B25B9"/>
    <w:rsid w:val="003C2BC3"/>
    <w:rsid w:val="00420228"/>
    <w:rsid w:val="00425FFB"/>
    <w:rsid w:val="0045182D"/>
    <w:rsid w:val="0046149B"/>
    <w:rsid w:val="00492E80"/>
    <w:rsid w:val="004C0E98"/>
    <w:rsid w:val="004C6AA8"/>
    <w:rsid w:val="00513317"/>
    <w:rsid w:val="00560F3B"/>
    <w:rsid w:val="005B4EB3"/>
    <w:rsid w:val="00615D62"/>
    <w:rsid w:val="00676277"/>
    <w:rsid w:val="00691D85"/>
    <w:rsid w:val="007019B9"/>
    <w:rsid w:val="00740F89"/>
    <w:rsid w:val="00746196"/>
    <w:rsid w:val="00761F37"/>
    <w:rsid w:val="0078264C"/>
    <w:rsid w:val="00807958"/>
    <w:rsid w:val="008151C9"/>
    <w:rsid w:val="00843E54"/>
    <w:rsid w:val="008D0A5F"/>
    <w:rsid w:val="008F1F2A"/>
    <w:rsid w:val="009107C7"/>
    <w:rsid w:val="00916EBE"/>
    <w:rsid w:val="00925FD2"/>
    <w:rsid w:val="00937279"/>
    <w:rsid w:val="00946774"/>
    <w:rsid w:val="0099362E"/>
    <w:rsid w:val="009F7379"/>
    <w:rsid w:val="00A257A6"/>
    <w:rsid w:val="00AE2AF5"/>
    <w:rsid w:val="00AF6B18"/>
    <w:rsid w:val="00B721F8"/>
    <w:rsid w:val="00B72E1A"/>
    <w:rsid w:val="00B9745C"/>
    <w:rsid w:val="00BB4DB0"/>
    <w:rsid w:val="00C13026"/>
    <w:rsid w:val="00C258B5"/>
    <w:rsid w:val="00C821C5"/>
    <w:rsid w:val="00CB1F7A"/>
    <w:rsid w:val="00D073DB"/>
    <w:rsid w:val="00D84103"/>
    <w:rsid w:val="00D91813"/>
    <w:rsid w:val="00DB6ED3"/>
    <w:rsid w:val="00DC1714"/>
    <w:rsid w:val="00DD1466"/>
    <w:rsid w:val="00DF07B1"/>
    <w:rsid w:val="00DF5BEF"/>
    <w:rsid w:val="00E12D4B"/>
    <w:rsid w:val="00E64E82"/>
    <w:rsid w:val="00E667CB"/>
    <w:rsid w:val="00E83D4F"/>
    <w:rsid w:val="00EA5A15"/>
    <w:rsid w:val="00EE5EA4"/>
    <w:rsid w:val="00F2216D"/>
    <w:rsid w:val="00F26D8A"/>
    <w:rsid w:val="00F47BA9"/>
    <w:rsid w:val="00F63354"/>
    <w:rsid w:val="00F73462"/>
    <w:rsid w:val="11786175"/>
    <w:rsid w:val="120615CE"/>
    <w:rsid w:val="1BB22C1C"/>
    <w:rsid w:val="239D66C2"/>
    <w:rsid w:val="2463241C"/>
    <w:rsid w:val="278D163F"/>
    <w:rsid w:val="2A620566"/>
    <w:rsid w:val="31A774A2"/>
    <w:rsid w:val="48E2592E"/>
    <w:rsid w:val="4DEB22DD"/>
    <w:rsid w:val="4E386FCD"/>
    <w:rsid w:val="6C361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1410</Words>
  <Characters>1416</Characters>
  <Lines>10</Lines>
  <Paragraphs>2</Paragraphs>
  <TotalTime>0</TotalTime>
  <ScaleCrop>false</ScaleCrop>
  <LinksUpToDate>false</LinksUpToDate>
  <CharactersWithSpaces>1471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2018-08-22T02:36:00Z</dcterms:created>
  <dc:creator>徐芬</dc:creator>
  <cp:lastModifiedBy>招标代理clb</cp:lastModifiedBy>
  <dcterms:modified xsi:type="dcterms:W3CDTF">2026-03-11T03:27:34Z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7FD2A8D97049494DA006B1C0FE50F3E9</vt:lpwstr>
  </property>
  <property fmtid="{D5CDD505-2E9C-101B-9397-08002B2CF9AE}" pid="4" name="KSOTemplateDocerSaveRecord">
    <vt:lpwstr>eyJoZGlkIjoiZDQwZDNiMmNiOWU1MGExZTQxZThiZTljOGQ2ZWNkMWIiLCJ1c2VySWQiOiI2MDU4MjkifQ==</vt:lpwstr>
  </property>
</Properties>
</file>